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2043EE" w:rsidRDefault="002043EE" w:rsidP="00356093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olor w:val="0F243E" w:themeColor="text2" w:themeShade="80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color w:val="0F243E" w:themeColor="text2" w:themeShade="80"/>
          <w:sz w:val="40"/>
          <w:szCs w:val="40"/>
        </w:rPr>
        <w:t xml:space="preserve">ОСНОВНЫЕ ФУНКЦИИ </w:t>
      </w:r>
    </w:p>
    <w:p w:rsidR="000B7FA6" w:rsidRDefault="002043EE" w:rsidP="00356093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olor w:val="0F243E" w:themeColor="text2" w:themeShade="80"/>
          <w:sz w:val="40"/>
          <w:szCs w:val="40"/>
        </w:rPr>
      </w:pPr>
      <w:r>
        <w:rPr>
          <w:rFonts w:ascii="Arial" w:hAnsi="Arial" w:cs="Arial"/>
          <w:b/>
          <w:color w:val="0F243E" w:themeColor="text2" w:themeShade="80"/>
          <w:sz w:val="40"/>
          <w:szCs w:val="40"/>
        </w:rPr>
        <w:t>ОМБУДСМЕНА</w:t>
      </w:r>
    </w:p>
    <w:p w:rsidR="002043EE" w:rsidRPr="001D61AA" w:rsidRDefault="002043EE" w:rsidP="00356093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olor w:val="0F243E" w:themeColor="text2" w:themeShade="80"/>
          <w:sz w:val="40"/>
          <w:szCs w:val="40"/>
        </w:rPr>
      </w:pPr>
    </w:p>
    <w:p w:rsidR="00356093" w:rsidRPr="001D61AA" w:rsidRDefault="00356093" w:rsidP="000B7FA6">
      <w:pPr>
        <w:pStyle w:val="a8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17365D" w:themeColor="text2" w:themeShade="BF"/>
          <w:sz w:val="26"/>
          <w:szCs w:val="26"/>
        </w:rPr>
      </w:pPr>
      <w:r w:rsidRPr="001D61AA">
        <w:rPr>
          <w:rFonts w:ascii="Arial" w:hAnsi="Arial" w:cs="Arial"/>
          <w:b/>
          <w:color w:val="17365D" w:themeColor="text2" w:themeShade="BF"/>
          <w:sz w:val="40"/>
          <w:szCs w:val="40"/>
        </w:rPr>
        <w:t>консультирование</w:t>
      </w: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 xml:space="preserve"> обратившихся работников, участников трудовых споров, конфликта и оказание им содействия в выработке взаимоприемлемого, конструктивного и реализуемого решения с учетом соблюдения норм законодательства Республики Казахстан, в том числе соблюдения конфиденциальности при необходимости;</w:t>
      </w:r>
    </w:p>
    <w:p w:rsidR="00356093" w:rsidRPr="001D61AA" w:rsidRDefault="00356093" w:rsidP="001D61AA">
      <w:pPr>
        <w:pStyle w:val="a8"/>
        <w:numPr>
          <w:ilvl w:val="0"/>
          <w:numId w:val="2"/>
        </w:numPr>
        <w:tabs>
          <w:tab w:val="left" w:pos="284"/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Arial" w:hAnsi="Arial" w:cs="Arial"/>
          <w:color w:val="17365D" w:themeColor="text2" w:themeShade="BF"/>
          <w:sz w:val="26"/>
          <w:szCs w:val="26"/>
        </w:rPr>
      </w:pP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 xml:space="preserve">оказание содействия в </w:t>
      </w:r>
      <w:r w:rsidRPr="001D61AA">
        <w:rPr>
          <w:rFonts w:ascii="Arial" w:hAnsi="Arial" w:cs="Arial"/>
          <w:b/>
          <w:color w:val="17365D" w:themeColor="text2" w:themeShade="BF"/>
          <w:sz w:val="40"/>
          <w:szCs w:val="40"/>
        </w:rPr>
        <w:t>решении проблемных</w:t>
      </w: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 xml:space="preserve"> социально-трудовых </w:t>
      </w:r>
      <w:r w:rsidRPr="001D61AA">
        <w:rPr>
          <w:rFonts w:ascii="Arial" w:hAnsi="Arial" w:cs="Arial"/>
          <w:b/>
          <w:color w:val="17365D" w:themeColor="text2" w:themeShade="BF"/>
          <w:sz w:val="40"/>
          <w:szCs w:val="40"/>
        </w:rPr>
        <w:t>вопросов</w:t>
      </w: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 xml:space="preserve"> работников Фонда и организаций, а также в соблюдении принципов деловой этики работниками Фонда и организаций;</w:t>
      </w:r>
    </w:p>
    <w:p w:rsidR="00356093" w:rsidRPr="001D61AA" w:rsidRDefault="00356093" w:rsidP="001D61AA">
      <w:pPr>
        <w:pStyle w:val="a8"/>
        <w:numPr>
          <w:ilvl w:val="0"/>
          <w:numId w:val="2"/>
        </w:numPr>
        <w:tabs>
          <w:tab w:val="left" w:pos="284"/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Arial" w:hAnsi="Arial" w:cs="Arial"/>
          <w:color w:val="17365D" w:themeColor="text2" w:themeShade="BF"/>
          <w:sz w:val="26"/>
          <w:szCs w:val="26"/>
        </w:rPr>
      </w:pP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 xml:space="preserve">выработка </w:t>
      </w:r>
      <w:r w:rsidRPr="001D61AA">
        <w:rPr>
          <w:rFonts w:ascii="Arial" w:hAnsi="Arial" w:cs="Arial"/>
          <w:b/>
          <w:color w:val="17365D" w:themeColor="text2" w:themeShade="BF"/>
          <w:sz w:val="40"/>
          <w:szCs w:val="40"/>
        </w:rPr>
        <w:t>рекомендаций</w:t>
      </w:r>
      <w:r w:rsidRPr="001D61AA">
        <w:rPr>
          <w:rFonts w:ascii="Arial" w:hAnsi="Arial" w:cs="Arial"/>
          <w:b/>
          <w:color w:val="17365D" w:themeColor="text2" w:themeShade="BF"/>
          <w:sz w:val="50"/>
          <w:szCs w:val="50"/>
        </w:rPr>
        <w:t xml:space="preserve"> </w:t>
      </w: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>для лиц, участвующих в споре, конфликтной или проблемной ситуации по урегулированию конфликтов (споров);</w:t>
      </w:r>
    </w:p>
    <w:p w:rsidR="00356093" w:rsidRPr="001D61AA" w:rsidRDefault="00356093" w:rsidP="001D61AA">
      <w:pPr>
        <w:pStyle w:val="a8"/>
        <w:numPr>
          <w:ilvl w:val="0"/>
          <w:numId w:val="2"/>
        </w:numPr>
        <w:tabs>
          <w:tab w:val="left" w:pos="284"/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Arial" w:hAnsi="Arial" w:cs="Arial"/>
          <w:color w:val="17365D" w:themeColor="text2" w:themeShade="BF"/>
          <w:sz w:val="26"/>
          <w:szCs w:val="26"/>
        </w:rPr>
      </w:pP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 xml:space="preserve">консультирование должностных лиц Фонда и организаций по </w:t>
      </w:r>
      <w:r w:rsidRPr="001D61AA">
        <w:rPr>
          <w:rFonts w:ascii="Arial" w:hAnsi="Arial" w:cs="Arial"/>
          <w:b/>
          <w:color w:val="17365D" w:themeColor="text2" w:themeShade="BF"/>
          <w:sz w:val="40"/>
          <w:szCs w:val="40"/>
        </w:rPr>
        <w:t>разрешению и предотвращению конфликтов</w:t>
      </w: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 xml:space="preserve"> (споров), носящих системный, правовой и организационный характер, а также по вопросам соблюдении принципов деловой этики;</w:t>
      </w:r>
    </w:p>
    <w:p w:rsidR="00356093" w:rsidRPr="001D61AA" w:rsidRDefault="00356093" w:rsidP="001D61AA">
      <w:pPr>
        <w:pStyle w:val="a8"/>
        <w:numPr>
          <w:ilvl w:val="0"/>
          <w:numId w:val="2"/>
        </w:numPr>
        <w:tabs>
          <w:tab w:val="left" w:pos="284"/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Arial" w:hAnsi="Arial" w:cs="Arial"/>
          <w:color w:val="17365D" w:themeColor="text2" w:themeShade="BF"/>
          <w:sz w:val="26"/>
          <w:szCs w:val="26"/>
        </w:rPr>
      </w:pP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 xml:space="preserve">внесение на рассмотрение соответствующих органов и должностных лиц Фонда и/(или) организаций выявленных им проблемных вопросов, носящих системный характер, и требующих принятия ими, соответствующих решений (комплексных мер), </w:t>
      </w:r>
      <w:r w:rsidRPr="001D61AA">
        <w:rPr>
          <w:rFonts w:ascii="Arial" w:hAnsi="Arial" w:cs="Arial"/>
          <w:b/>
          <w:color w:val="17365D" w:themeColor="text2" w:themeShade="BF"/>
          <w:sz w:val="40"/>
          <w:szCs w:val="40"/>
        </w:rPr>
        <w:t>выдвижение конструктивных предложений</w:t>
      </w: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 xml:space="preserve"> для их решения.</w:t>
      </w:r>
    </w:p>
    <w:p w:rsidR="00356093" w:rsidRPr="001D61AA" w:rsidRDefault="00356093" w:rsidP="001D61AA">
      <w:pPr>
        <w:pStyle w:val="a8"/>
        <w:numPr>
          <w:ilvl w:val="0"/>
          <w:numId w:val="2"/>
        </w:numPr>
        <w:tabs>
          <w:tab w:val="left" w:pos="284"/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Arial" w:hAnsi="Arial" w:cs="Arial"/>
          <w:color w:val="17365D" w:themeColor="text2" w:themeShade="BF"/>
          <w:sz w:val="26"/>
          <w:szCs w:val="26"/>
        </w:rPr>
      </w:pP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>внесение предложений по совершенствованию внутренних нормативных документов Фонда в рамках своей компетенции;</w:t>
      </w:r>
    </w:p>
    <w:p w:rsidR="00767B9F" w:rsidRDefault="00356093" w:rsidP="001D61AA">
      <w:pPr>
        <w:pStyle w:val="a8"/>
        <w:numPr>
          <w:ilvl w:val="0"/>
          <w:numId w:val="2"/>
        </w:numPr>
        <w:tabs>
          <w:tab w:val="left" w:pos="284"/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Arial" w:hAnsi="Arial" w:cs="Arial"/>
          <w:color w:val="17365D" w:themeColor="text2" w:themeShade="BF"/>
          <w:sz w:val="26"/>
          <w:szCs w:val="26"/>
        </w:rPr>
      </w:pPr>
      <w:r w:rsidRPr="001D61AA">
        <w:rPr>
          <w:rFonts w:ascii="Arial" w:hAnsi="Arial" w:cs="Arial"/>
          <w:color w:val="17365D" w:themeColor="text2" w:themeShade="BF"/>
          <w:sz w:val="26"/>
          <w:szCs w:val="26"/>
        </w:rPr>
        <w:t>принятие иных мер рекомендательного характера, в том числе направленных на восстановление нарушенных прав и законных интересов.</w:t>
      </w:r>
    </w:p>
    <w:p w:rsidR="00331C20" w:rsidRDefault="00331C20" w:rsidP="000B7FA6">
      <w:pPr>
        <w:spacing w:after="0" w:line="240" w:lineRule="auto"/>
        <w:jc w:val="center"/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2043EE" w:rsidRDefault="002043EE" w:rsidP="000B7FA6">
      <w:pPr>
        <w:spacing w:after="0" w:line="240" w:lineRule="auto"/>
        <w:jc w:val="center"/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E72335" w:rsidRDefault="003E484D" w:rsidP="000B7FA6">
      <w:pPr>
        <w:spacing w:after="0" w:line="240" w:lineRule="auto"/>
        <w:jc w:val="center"/>
        <w:rPr>
          <w:rFonts w:ascii="Arial" w:hAnsi="Arial" w:cs="Arial"/>
          <w:color w:val="17365D" w:themeColor="text2" w:themeShade="BF"/>
          <w:sz w:val="24"/>
          <w:szCs w:val="24"/>
        </w:rPr>
      </w:pPr>
      <w:r w:rsidRPr="001D61AA">
        <w:rPr>
          <w:rFonts w:ascii="Arial" w:hAnsi="Arial" w:cs="Arial"/>
          <w:color w:val="17365D" w:themeColor="text2" w:themeShade="BF"/>
          <w:sz w:val="24"/>
          <w:szCs w:val="24"/>
        </w:rPr>
        <w:t xml:space="preserve">По всем возникшим вопросам касательно нарушения Ваших трудовых прав обращайтесь в офис Омбудсмена </w:t>
      </w:r>
      <w:r w:rsidR="00E72335">
        <w:rPr>
          <w:rFonts w:ascii="Arial" w:hAnsi="Arial" w:cs="Arial"/>
          <w:color w:val="17365D" w:themeColor="text2" w:themeShade="BF"/>
          <w:sz w:val="24"/>
          <w:szCs w:val="24"/>
        </w:rPr>
        <w:t xml:space="preserve">Вашей портфельной компании либо </w:t>
      </w:r>
    </w:p>
    <w:p w:rsidR="000B7FA6" w:rsidRDefault="00E72335" w:rsidP="000B7FA6">
      <w:pPr>
        <w:spacing w:after="0" w:line="240" w:lineRule="auto"/>
        <w:jc w:val="center"/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Омбудсмену </w:t>
      </w:r>
      <w:r w:rsidR="003E484D" w:rsidRPr="001D61AA">
        <w:rPr>
          <w:rFonts w:ascii="Arial" w:hAnsi="Arial" w:cs="Arial"/>
          <w:color w:val="17365D" w:themeColor="text2" w:themeShade="BF"/>
          <w:sz w:val="24"/>
          <w:szCs w:val="24"/>
        </w:rPr>
        <w:t>АО «Самрук</w:t>
      </w:r>
      <w:r w:rsidR="005A3676">
        <w:rPr>
          <w:rFonts w:ascii="Arial" w:hAnsi="Arial" w:cs="Arial"/>
          <w:color w:val="17365D" w:themeColor="text2" w:themeShade="BF"/>
          <w:sz w:val="24"/>
          <w:szCs w:val="24"/>
        </w:rPr>
        <w:t>-</w:t>
      </w:r>
      <w:r w:rsidR="003E484D" w:rsidRPr="001D61AA">
        <w:rPr>
          <w:rFonts w:ascii="Arial" w:hAnsi="Arial" w:cs="Arial"/>
          <w:color w:val="17365D" w:themeColor="text2" w:themeShade="BF"/>
          <w:sz w:val="24"/>
          <w:szCs w:val="24"/>
          <w:lang w:val="kk-KZ"/>
        </w:rPr>
        <w:t>Қ</w:t>
      </w:r>
      <w:r w:rsidR="003E484D" w:rsidRPr="001D61AA">
        <w:rPr>
          <w:rFonts w:ascii="Arial" w:hAnsi="Arial" w:cs="Arial"/>
          <w:color w:val="17365D" w:themeColor="text2" w:themeShade="BF"/>
          <w:sz w:val="24"/>
          <w:szCs w:val="24"/>
        </w:rPr>
        <w:t xml:space="preserve">азына» </w:t>
      </w:r>
    </w:p>
    <w:p w:rsidR="002043EE" w:rsidRPr="00E72335" w:rsidRDefault="002043EE" w:rsidP="000B7FA6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E72335" w:rsidRDefault="00D350A6" w:rsidP="000B7FA6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D350A6">
        <w:rPr>
          <w:rFonts w:ascii="Arial" w:hAnsi="Arial" w:cs="Arial"/>
          <w:b/>
          <w:color w:val="17365D" w:themeColor="text2" w:themeShade="BF"/>
          <w:sz w:val="28"/>
          <w:szCs w:val="28"/>
        </w:rPr>
        <w:t>электронный ящик:</w:t>
      </w:r>
      <w:r w:rsidRPr="00D350A6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2043EE" w:rsidRDefault="002043EE" w:rsidP="000B7FA6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72335" w:rsidRDefault="00E72335" w:rsidP="000B7FA6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Омбудсмен АО «</w:t>
      </w:r>
      <w:r w:rsidR="00D27EC9">
        <w:rPr>
          <w:rFonts w:ascii="Arial" w:hAnsi="Arial" w:cs="Arial"/>
          <w:b/>
          <w:color w:val="FF0000"/>
          <w:sz w:val="28"/>
          <w:szCs w:val="28"/>
        </w:rPr>
        <w:t>НАК «Казатомпром</w:t>
      </w:r>
      <w:r>
        <w:rPr>
          <w:rFonts w:ascii="Arial" w:hAnsi="Arial" w:cs="Arial"/>
          <w:b/>
          <w:color w:val="FF0000"/>
          <w:sz w:val="28"/>
          <w:szCs w:val="28"/>
        </w:rPr>
        <w:t xml:space="preserve">» - </w:t>
      </w:r>
      <w:r w:rsidRPr="00E72335">
        <w:rPr>
          <w:rFonts w:ascii="Arial" w:hAnsi="Arial" w:cs="Arial"/>
          <w:b/>
          <w:color w:val="FF0000"/>
          <w:sz w:val="28"/>
          <w:szCs w:val="28"/>
          <w:lang w:val="en-US"/>
        </w:rPr>
        <w:t>ombudsman</w:t>
      </w:r>
      <w:r w:rsidRPr="002C67BB">
        <w:rPr>
          <w:rFonts w:ascii="Arial" w:hAnsi="Arial" w:cs="Arial"/>
          <w:b/>
          <w:color w:val="FF0000"/>
          <w:sz w:val="28"/>
          <w:szCs w:val="28"/>
        </w:rPr>
        <w:t>@</w:t>
      </w:r>
      <w:proofErr w:type="spellStart"/>
      <w:r w:rsidR="00D27EC9" w:rsidRPr="00D27EC9">
        <w:rPr>
          <w:rFonts w:ascii="Arial" w:hAnsi="Arial" w:cs="Arial"/>
          <w:b/>
          <w:color w:val="FF0000"/>
          <w:sz w:val="28"/>
          <w:szCs w:val="28"/>
          <w:lang w:val="en-US"/>
        </w:rPr>
        <w:t>kazatomprom</w:t>
      </w:r>
      <w:proofErr w:type="spellEnd"/>
      <w:r w:rsidRPr="002C67BB">
        <w:rPr>
          <w:rFonts w:ascii="Arial" w:hAnsi="Arial" w:cs="Arial"/>
          <w:b/>
          <w:color w:val="FF0000"/>
          <w:sz w:val="28"/>
          <w:szCs w:val="28"/>
        </w:rPr>
        <w:t>.</w:t>
      </w:r>
      <w:proofErr w:type="spellStart"/>
      <w:r w:rsidRPr="00E72335">
        <w:rPr>
          <w:rFonts w:ascii="Arial" w:hAnsi="Arial" w:cs="Arial"/>
          <w:b/>
          <w:color w:val="FF0000"/>
          <w:sz w:val="28"/>
          <w:szCs w:val="28"/>
          <w:lang w:val="en-US"/>
        </w:rPr>
        <w:t>kz</w:t>
      </w:r>
      <w:proofErr w:type="spellEnd"/>
      <w:r w:rsidRPr="00E7233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2043EE" w:rsidRPr="00E72335" w:rsidRDefault="002043EE" w:rsidP="000B7FA6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D350A6" w:rsidRPr="00D350A6" w:rsidRDefault="00E72335" w:rsidP="000B7FA6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Омбудсмен АО «Самрук-</w:t>
      </w:r>
      <w:r>
        <w:rPr>
          <w:rFonts w:ascii="Arial" w:hAnsi="Arial" w:cs="Arial"/>
          <w:b/>
          <w:color w:val="FF0000"/>
          <w:sz w:val="28"/>
          <w:szCs w:val="28"/>
          <w:lang w:val="kk-KZ"/>
        </w:rPr>
        <w:t>Қазына</w:t>
      </w:r>
      <w:r>
        <w:rPr>
          <w:rFonts w:ascii="Arial" w:hAnsi="Arial" w:cs="Arial"/>
          <w:b/>
          <w:color w:val="FF0000"/>
          <w:sz w:val="28"/>
          <w:szCs w:val="28"/>
        </w:rPr>
        <w:t xml:space="preserve">» - </w:t>
      </w:r>
      <w:r w:rsidR="00550C19" w:rsidRPr="00E72335">
        <w:rPr>
          <w:rFonts w:ascii="Arial" w:hAnsi="Arial" w:cs="Arial"/>
          <w:b/>
          <w:color w:val="FF0000"/>
          <w:sz w:val="28"/>
          <w:szCs w:val="28"/>
          <w:lang w:val="en-US"/>
        </w:rPr>
        <w:t>ombudsma</w:t>
      </w:r>
      <w:r w:rsidR="00D350A6" w:rsidRPr="00E72335">
        <w:rPr>
          <w:rFonts w:ascii="Arial" w:hAnsi="Arial" w:cs="Arial"/>
          <w:b/>
          <w:color w:val="FF0000"/>
          <w:sz w:val="28"/>
          <w:szCs w:val="28"/>
          <w:lang w:val="en-US"/>
        </w:rPr>
        <w:t>n</w:t>
      </w:r>
      <w:r w:rsidR="00D350A6" w:rsidRPr="00E72335">
        <w:rPr>
          <w:rFonts w:ascii="Arial" w:hAnsi="Arial" w:cs="Arial"/>
          <w:b/>
          <w:color w:val="FF0000"/>
          <w:sz w:val="28"/>
          <w:szCs w:val="28"/>
        </w:rPr>
        <w:t>@</w:t>
      </w:r>
      <w:proofErr w:type="spellStart"/>
      <w:r>
        <w:rPr>
          <w:rFonts w:ascii="Arial" w:hAnsi="Arial" w:cs="Arial"/>
          <w:b/>
          <w:color w:val="FF0000"/>
          <w:sz w:val="28"/>
          <w:szCs w:val="28"/>
          <w:lang w:val="en-US"/>
        </w:rPr>
        <w:t>cscc</w:t>
      </w:r>
      <w:proofErr w:type="spellEnd"/>
      <w:r w:rsidR="00D350A6" w:rsidRPr="00E72335">
        <w:rPr>
          <w:rFonts w:ascii="Arial" w:hAnsi="Arial" w:cs="Arial"/>
          <w:b/>
          <w:color w:val="FF0000"/>
          <w:sz w:val="28"/>
          <w:szCs w:val="28"/>
        </w:rPr>
        <w:t>.</w:t>
      </w:r>
      <w:proofErr w:type="spellStart"/>
      <w:r w:rsidR="00D350A6" w:rsidRPr="00E72335">
        <w:rPr>
          <w:rFonts w:ascii="Arial" w:hAnsi="Arial" w:cs="Arial"/>
          <w:b/>
          <w:color w:val="FF0000"/>
          <w:sz w:val="28"/>
          <w:szCs w:val="28"/>
          <w:lang w:val="en-US"/>
        </w:rPr>
        <w:t>kz</w:t>
      </w:r>
      <w:proofErr w:type="spellEnd"/>
    </w:p>
    <w:p w:rsidR="003E484D" w:rsidRPr="002043EE" w:rsidRDefault="003E484D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2043EE">
        <w:rPr>
          <w:rFonts w:ascii="Arial" w:hAnsi="Arial" w:cs="Arial"/>
          <w:i/>
          <w:color w:val="17365D" w:themeColor="text2" w:themeShade="BF"/>
          <w:sz w:val="20"/>
          <w:szCs w:val="20"/>
        </w:rPr>
        <w:t>(все обращения конфиденциальны)</w:t>
      </w:r>
    </w:p>
    <w:sectPr w:rsidR="003E484D" w:rsidRPr="002043EE" w:rsidSect="002043EE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A26F7"/>
    <w:multiLevelType w:val="hybridMultilevel"/>
    <w:tmpl w:val="0E10B7F4"/>
    <w:lvl w:ilvl="0" w:tplc="205A6E1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07395"/>
    <w:multiLevelType w:val="hybridMultilevel"/>
    <w:tmpl w:val="D5A258DA"/>
    <w:lvl w:ilvl="0" w:tplc="0000000F">
      <w:start w:val="1"/>
      <w:numFmt w:val="decimal"/>
      <w:lvlText w:val="%1."/>
      <w:lvlJc w:val="left"/>
      <w:pPr>
        <w:ind w:left="1146" w:hanging="360"/>
      </w:pPr>
    </w:lvl>
    <w:lvl w:ilvl="1" w:tplc="00000019" w:tentative="1">
      <w:start w:val="1"/>
      <w:numFmt w:val="lowerLetter"/>
      <w:lvlText w:val="%2."/>
      <w:lvlJc w:val="left"/>
      <w:pPr>
        <w:ind w:left="1866" w:hanging="360"/>
      </w:pPr>
    </w:lvl>
    <w:lvl w:ilvl="2" w:tplc="0000001B" w:tentative="1">
      <w:start w:val="1"/>
      <w:numFmt w:val="lowerRoman"/>
      <w:lvlText w:val="%3."/>
      <w:lvlJc w:val="right"/>
      <w:pPr>
        <w:ind w:left="2586" w:hanging="180"/>
      </w:pPr>
    </w:lvl>
    <w:lvl w:ilvl="3" w:tplc="0000000F" w:tentative="1">
      <w:start w:val="1"/>
      <w:numFmt w:val="decimal"/>
      <w:lvlText w:val="%4."/>
      <w:lvlJc w:val="left"/>
      <w:pPr>
        <w:ind w:left="3306" w:hanging="360"/>
      </w:pPr>
    </w:lvl>
    <w:lvl w:ilvl="4" w:tplc="00000019" w:tentative="1">
      <w:start w:val="1"/>
      <w:numFmt w:val="lowerLetter"/>
      <w:lvlText w:val="%5."/>
      <w:lvlJc w:val="left"/>
      <w:pPr>
        <w:ind w:left="4026" w:hanging="360"/>
      </w:pPr>
    </w:lvl>
    <w:lvl w:ilvl="5" w:tplc="0000001B" w:tentative="1">
      <w:start w:val="1"/>
      <w:numFmt w:val="lowerRoman"/>
      <w:lvlText w:val="%6."/>
      <w:lvlJc w:val="right"/>
      <w:pPr>
        <w:ind w:left="4746" w:hanging="180"/>
      </w:pPr>
    </w:lvl>
    <w:lvl w:ilvl="6" w:tplc="0000000F" w:tentative="1">
      <w:start w:val="1"/>
      <w:numFmt w:val="decimal"/>
      <w:lvlText w:val="%7."/>
      <w:lvlJc w:val="left"/>
      <w:pPr>
        <w:ind w:left="5466" w:hanging="360"/>
      </w:pPr>
    </w:lvl>
    <w:lvl w:ilvl="7" w:tplc="00000019" w:tentative="1">
      <w:start w:val="1"/>
      <w:numFmt w:val="lowerLetter"/>
      <w:lvlText w:val="%8."/>
      <w:lvlJc w:val="left"/>
      <w:pPr>
        <w:ind w:left="6186" w:hanging="360"/>
      </w:pPr>
    </w:lvl>
    <w:lvl w:ilvl="8" w:tplc="0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37C52F5"/>
    <w:multiLevelType w:val="hybridMultilevel"/>
    <w:tmpl w:val="8C12302A"/>
    <w:lvl w:ilvl="0" w:tplc="0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E7650"/>
    <w:multiLevelType w:val="hybridMultilevel"/>
    <w:tmpl w:val="75E6856E"/>
    <w:lvl w:ilvl="0" w:tplc="0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90"/>
    <w:rsid w:val="00020F33"/>
    <w:rsid w:val="000B7FA6"/>
    <w:rsid w:val="000D7216"/>
    <w:rsid w:val="00154DA5"/>
    <w:rsid w:val="001703E0"/>
    <w:rsid w:val="001D61AA"/>
    <w:rsid w:val="00203AF8"/>
    <w:rsid w:val="002043EE"/>
    <w:rsid w:val="0021208E"/>
    <w:rsid w:val="002225A7"/>
    <w:rsid w:val="002C67BB"/>
    <w:rsid w:val="002E44D6"/>
    <w:rsid w:val="00305622"/>
    <w:rsid w:val="00331C20"/>
    <w:rsid w:val="00356093"/>
    <w:rsid w:val="00392997"/>
    <w:rsid w:val="003E484D"/>
    <w:rsid w:val="004B7F3A"/>
    <w:rsid w:val="004F32FD"/>
    <w:rsid w:val="0050659A"/>
    <w:rsid w:val="00550C19"/>
    <w:rsid w:val="005735D2"/>
    <w:rsid w:val="005A3676"/>
    <w:rsid w:val="005C20D0"/>
    <w:rsid w:val="00620CEB"/>
    <w:rsid w:val="00623BFB"/>
    <w:rsid w:val="00727590"/>
    <w:rsid w:val="00767B9F"/>
    <w:rsid w:val="007C78C0"/>
    <w:rsid w:val="009D55CA"/>
    <w:rsid w:val="00A22F94"/>
    <w:rsid w:val="00A66033"/>
    <w:rsid w:val="00A80F90"/>
    <w:rsid w:val="00AE558C"/>
    <w:rsid w:val="00B00435"/>
    <w:rsid w:val="00C57C8B"/>
    <w:rsid w:val="00CE08A6"/>
    <w:rsid w:val="00D03434"/>
    <w:rsid w:val="00D12A94"/>
    <w:rsid w:val="00D27EC9"/>
    <w:rsid w:val="00D350A6"/>
    <w:rsid w:val="00D91532"/>
    <w:rsid w:val="00E16C30"/>
    <w:rsid w:val="00E72335"/>
    <w:rsid w:val="00E8090E"/>
    <w:rsid w:val="00F93A7F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B30B1-B963-450A-B9F9-76027C5C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0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"/>
    <w:qFormat/>
    <w:rsid w:val="00E809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090E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E8090E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E8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Strong"/>
    <w:basedOn w:val="a0"/>
    <w:uiPriority w:val="22"/>
    <w:qFormat/>
    <w:rsid w:val="00E8090E"/>
    <w:rPr>
      <w:b/>
      <w:bCs/>
    </w:rPr>
  </w:style>
  <w:style w:type="character" w:styleId="a5">
    <w:name w:val="Hyperlink"/>
    <w:basedOn w:val="a0"/>
    <w:uiPriority w:val="99"/>
    <w:semiHidden/>
    <w:unhideWhenUsed/>
    <w:rsid w:val="00E809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5A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0D721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35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A8F2D-7860-44E8-9FC1-B9AE41BA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CSCC091701</dc:creator>
  <cp:keywords/>
  <dc:description/>
  <cp:lastModifiedBy>Жайлыбаева Шолпан</cp:lastModifiedBy>
  <cp:revision>2</cp:revision>
  <cp:lastPrinted>2018-01-17T10:04:00Z</cp:lastPrinted>
  <dcterms:created xsi:type="dcterms:W3CDTF">2018-04-04T13:06:00Z</dcterms:created>
  <dcterms:modified xsi:type="dcterms:W3CDTF">2018-04-04T13:06:00Z</dcterms:modified>
</cp:coreProperties>
</file>